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1438" w:tblpY="600"/>
        <w:tblW w:w="0" w:type="auto"/>
        <w:tblLook w:val="04A0" w:firstRow="1" w:lastRow="0" w:firstColumn="1" w:lastColumn="0" w:noHBand="0" w:noVBand="1"/>
      </w:tblPr>
      <w:tblGrid>
        <w:gridCol w:w="6345"/>
        <w:gridCol w:w="851"/>
        <w:gridCol w:w="709"/>
        <w:gridCol w:w="850"/>
        <w:gridCol w:w="1134"/>
        <w:gridCol w:w="851"/>
        <w:gridCol w:w="760"/>
        <w:gridCol w:w="1643"/>
        <w:gridCol w:w="1643"/>
      </w:tblGrid>
      <w:tr w:rsidR="0030153C" w:rsidTr="0030153C">
        <w:tc>
          <w:tcPr>
            <w:tcW w:w="6345" w:type="dxa"/>
          </w:tcPr>
          <w:p w:rsidR="0030153C" w:rsidRDefault="0030153C" w:rsidP="0030153C"/>
        </w:tc>
        <w:tc>
          <w:tcPr>
            <w:tcW w:w="851" w:type="dxa"/>
          </w:tcPr>
          <w:p w:rsidR="0030153C" w:rsidRDefault="0030153C" w:rsidP="0030153C"/>
        </w:tc>
        <w:tc>
          <w:tcPr>
            <w:tcW w:w="709" w:type="dxa"/>
          </w:tcPr>
          <w:p w:rsidR="0030153C" w:rsidRDefault="0030153C" w:rsidP="0030153C"/>
        </w:tc>
        <w:tc>
          <w:tcPr>
            <w:tcW w:w="850" w:type="dxa"/>
          </w:tcPr>
          <w:p w:rsidR="0030153C" w:rsidRDefault="0030153C" w:rsidP="0030153C"/>
        </w:tc>
        <w:tc>
          <w:tcPr>
            <w:tcW w:w="1134" w:type="dxa"/>
          </w:tcPr>
          <w:p w:rsidR="0030153C" w:rsidRDefault="0030153C" w:rsidP="0030153C"/>
        </w:tc>
        <w:tc>
          <w:tcPr>
            <w:tcW w:w="851" w:type="dxa"/>
          </w:tcPr>
          <w:p w:rsidR="0030153C" w:rsidRDefault="0030153C" w:rsidP="0030153C"/>
        </w:tc>
        <w:tc>
          <w:tcPr>
            <w:tcW w:w="760" w:type="dxa"/>
          </w:tcPr>
          <w:p w:rsidR="0030153C" w:rsidRDefault="0030153C" w:rsidP="0030153C"/>
        </w:tc>
        <w:tc>
          <w:tcPr>
            <w:tcW w:w="1643" w:type="dxa"/>
          </w:tcPr>
          <w:p w:rsidR="0030153C" w:rsidRDefault="0030153C" w:rsidP="0030153C"/>
        </w:tc>
        <w:tc>
          <w:tcPr>
            <w:tcW w:w="1643" w:type="dxa"/>
          </w:tcPr>
          <w:p w:rsidR="0030153C" w:rsidRDefault="0030153C" w:rsidP="0030153C"/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Пенсии, пособия, выплачиваемые работодателями, нанимателями бывшим работникам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312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01.01.00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34 199,00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Штрафы за нарушение законодательства о налогах и сборах, законодательства о страховых взносах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853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292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01.01.00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-4 000,00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выплаты текущего характера организациям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297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01.01.00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-4 999,00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8800004190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01.01.00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-5 000,00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01.22.38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12 000,00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01.22.38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3 700,00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01.22.38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10 000,00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119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01.22.38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10 800,00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Заработная плата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121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211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01.02.12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5 453,00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Начисления на выплаты по оплате труда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129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213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01.02.12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1 647,00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Увеличение стоимости горюче-смазочных материалов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343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01.01.00</w:t>
            </w: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5 000,00</w:t>
            </w:r>
          </w:p>
        </w:tc>
      </w:tr>
      <w:tr w:rsidR="0030153C" w:rsidTr="0030153C">
        <w:tc>
          <w:tcPr>
            <w:tcW w:w="6345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0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3" w:type="dxa"/>
            <w:vAlign w:val="center"/>
          </w:tcPr>
          <w:p w:rsidR="0030153C" w:rsidRDefault="0030153C" w:rsidP="003015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68 800,00</w:t>
            </w:r>
          </w:p>
        </w:tc>
      </w:tr>
    </w:tbl>
    <w:p w:rsidR="005C23BC" w:rsidRPr="0030153C" w:rsidRDefault="0030153C" w:rsidP="0030153C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30153C">
        <w:rPr>
          <w:b/>
          <w:sz w:val="24"/>
          <w:szCs w:val="24"/>
        </w:rPr>
        <w:t>ИЗМЕНЕНИЯ  БЮДЖЕТНОЙ  СМЕТЫ НА 2020г</w:t>
      </w:r>
    </w:p>
    <w:sectPr w:rsidR="005C23BC" w:rsidRPr="0030153C" w:rsidSect="003015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53C"/>
    <w:rsid w:val="0030153C"/>
    <w:rsid w:val="005C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5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2020-11-27T08:15:00Z</dcterms:created>
  <dcterms:modified xsi:type="dcterms:W3CDTF">2020-11-27T08:25:00Z</dcterms:modified>
</cp:coreProperties>
</file>